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E5" w:rsidRPr="00F158CE" w:rsidRDefault="00EC1D15" w:rsidP="00F158CE">
      <w:pPr>
        <w:pStyle w:val="Web"/>
        <w:spacing w:before="0" w:beforeAutospacing="0" w:after="0" w:afterAutospacing="0"/>
        <w:jc w:val="center"/>
        <w:rPr>
          <w:rFonts w:ascii="標楷體" w:eastAsia="標楷體" w:hAnsi="標楷體" w:cs="Times New Roman" w:hint="eastAsia"/>
          <w:b/>
          <w:bCs/>
          <w:color w:val="8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bCs/>
          <w:color w:val="800000"/>
          <w:sz w:val="28"/>
          <w:szCs w:val="28"/>
        </w:rPr>
        <w:t xml:space="preserve">　　　　　　</w:t>
      </w:r>
      <w:r w:rsidR="009300E5" w:rsidRPr="00F158CE">
        <w:rPr>
          <w:rFonts w:ascii="標楷體" w:eastAsia="標楷體" w:hAnsi="標楷體" w:cs="Times New Roman" w:hint="eastAsia"/>
          <w:b/>
          <w:bCs/>
          <w:color w:val="800000"/>
          <w:sz w:val="28"/>
          <w:szCs w:val="28"/>
        </w:rPr>
        <w:t>認識性別平等</w:t>
      </w:r>
    </w:p>
    <w:p w:rsidR="003327DD" w:rsidRPr="003327DD" w:rsidRDefault="003327DD" w:rsidP="00F158CE">
      <w:pPr>
        <w:pStyle w:val="Web"/>
        <w:spacing w:before="0" w:beforeAutospacing="0" w:after="0" w:afterAutospacing="0"/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3327DD">
        <w:rPr>
          <w:rFonts w:ascii="標楷體" w:eastAsia="標楷體" w:hAnsi="標楷體" w:hint="eastAsia"/>
          <w:sz w:val="20"/>
          <w:szCs w:val="20"/>
        </w:rPr>
        <w:t>輔導文粹 1060929</w:t>
      </w:r>
    </w:p>
    <w:p w:rsidR="00F158CE" w:rsidRDefault="009300E5" w:rsidP="00F158CE">
      <w:pPr>
        <w:widowControl/>
        <w:rPr>
          <w:rFonts w:ascii="新細明體" w:hAnsi="新細明體" w:hint="eastAsia"/>
          <w:b/>
          <w:bCs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b/>
          <w:bCs/>
          <w:color w:val="000000"/>
          <w:kern w:val="0"/>
          <w:sz w:val="20"/>
          <w:szCs w:val="20"/>
        </w:rPr>
        <w:t>什麼是性別平等？</w:t>
      </w:r>
    </w:p>
    <w:p w:rsidR="00340421" w:rsidRPr="00F158CE" w:rsidRDefault="009300E5" w:rsidP="00F158CE">
      <w:pPr>
        <w:widowControl/>
        <w:ind w:firstLineChars="200" w:firstLine="4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性別平等是兩性教育中極為重要的概念之一，所謂「性別平等」，就是「性別」（gender）和「平等」（equity／fairness）的組成， 「性別」除了一般社會大眾對人體生理結構差異的認知外（如：男性、女性的性別特徵不同），還包括性傾向不同者（如：同性戀者）和社會生活及文化層面上約定俗成的性別概念（例如：「女主內、男主外」「男兒有淚不輕彈」等）。</w:t>
      </w:r>
    </w:p>
    <w:p w:rsidR="00340421" w:rsidRPr="00F158CE" w:rsidRDefault="0020599B" w:rsidP="00E56BD2">
      <w:pPr>
        <w:widowControl/>
        <w:ind w:firstLineChars="200" w:firstLine="480"/>
        <w:rPr>
          <w:rFonts w:ascii="新細明體" w:hAnsi="新細明體" w:hint="eastAsia"/>
          <w:color w:val="000000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6017260</wp:posOffset>
            </wp:positionH>
            <wp:positionV relativeFrom="paragraph">
              <wp:posOffset>445770</wp:posOffset>
            </wp:positionV>
            <wp:extent cx="552450" cy="723900"/>
            <wp:effectExtent l="0" t="0" r="0" b="0"/>
            <wp:wrapTight wrapText="bothSides">
              <wp:wrapPolygon edited="0">
                <wp:start x="2979" y="0"/>
                <wp:lineTo x="0" y="2274"/>
                <wp:lineTo x="0" y="6821"/>
                <wp:lineTo x="745" y="18189"/>
                <wp:lineTo x="2979" y="21032"/>
                <wp:lineTo x="16386" y="21032"/>
                <wp:lineTo x="17131" y="18189"/>
                <wp:lineTo x="20110" y="11368"/>
                <wp:lineTo x="20110" y="9095"/>
                <wp:lineTo x="12662" y="2842"/>
                <wp:lineTo x="8938" y="0"/>
                <wp:lineTo x="2979" y="0"/>
              </wp:wrapPolygon>
            </wp:wrapTight>
            <wp:docPr id="6" name="圖片 6" descr="C:\Users\adin\Desktop\106學年度實施計畫-掛網-主任給\圖片-掛網\move-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in\Desktop\106學年度實施計畫-掛網-主任給\圖片-掛網\move-22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0E5" w:rsidRPr="00F158CE">
        <w:rPr>
          <w:rFonts w:ascii="新細明體" w:hAnsi="新細明體"/>
          <w:color w:val="000000"/>
          <w:kern w:val="0"/>
          <w:sz w:val="20"/>
          <w:szCs w:val="20"/>
        </w:rPr>
        <w:t>「平等」即是一種立足點上的公平對待，其不因性別不同而有所差異，對性取向不同者（如：男同性戀者、女同性戀者等）也應給予相當的尊重，而在性別平等上，兩性應積極地追求相互尊重、包容差異，消極地避免性別歧視或偏見。</w:t>
      </w:r>
    </w:p>
    <w:p w:rsidR="009300E5" w:rsidRPr="00F158CE" w:rsidRDefault="009300E5" w:rsidP="00F158CE">
      <w:pPr>
        <w:widowControl/>
        <w:rPr>
          <w:rFonts w:ascii="新細明體" w:hAnsi="新細明體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性別平等在教育上的推動，即期使社會早日達成「兩性平權、相互尊重」的真善美境界 。</w:t>
      </w:r>
    </w:p>
    <w:p w:rsidR="009300E5" w:rsidRPr="00F158CE" w:rsidRDefault="009300E5" w:rsidP="00F158CE">
      <w:pPr>
        <w:widowControl/>
        <w:rPr>
          <w:rFonts w:ascii="新細明體" w:hAnsi="新細明體" w:cs="新細明體"/>
          <w:kern w:val="0"/>
          <w:sz w:val="20"/>
          <w:szCs w:val="20"/>
        </w:rPr>
      </w:pPr>
      <w:r w:rsidRPr="00F158CE">
        <w:rPr>
          <w:rFonts w:ascii="新細明體" w:hAnsi="新細明體" w:cs="新細明體"/>
          <w:kern w:val="0"/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</w:p>
    <w:p w:rsidR="00F158CE" w:rsidRPr="00F158CE" w:rsidRDefault="009300E5" w:rsidP="00F158CE">
      <w:pPr>
        <w:widowControl/>
        <w:ind w:left="400" w:hangingChars="200" w:hanging="400"/>
        <w:rPr>
          <w:rFonts w:ascii="新細明體" w:hAnsi="新細明體" w:hint="eastAsia"/>
          <w:b/>
          <w:bCs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b/>
          <w:bCs/>
          <w:color w:val="000000"/>
          <w:kern w:val="0"/>
          <w:sz w:val="20"/>
          <w:szCs w:val="20"/>
        </w:rPr>
        <w:t>性別平等教育</w:t>
      </w:r>
    </w:p>
    <w:p w:rsidR="003327DD" w:rsidRPr="00F158CE" w:rsidRDefault="009300E5" w:rsidP="00F158CE">
      <w:pPr>
        <w:widowControl/>
        <w:ind w:firstLineChars="200" w:firstLine="4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「性別平等教育」是期望透過教育宣導性別平等的重要性，讓性別平等的概念向下紮根，因此，性別平等教育的內容大致分為：</w:t>
      </w:r>
    </w:p>
    <w:p w:rsidR="003327DD" w:rsidRPr="00F158CE" w:rsidRDefault="009300E5" w:rsidP="00F158CE">
      <w:pPr>
        <w:widowControl/>
        <w:ind w:left="400" w:hangingChars="200" w:hanging="4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一、瞭解兩性不同的角色在成長與發展上的多元化表現。</w:t>
      </w:r>
    </w:p>
    <w:p w:rsidR="003327DD" w:rsidRPr="00F158CE" w:rsidRDefault="009300E5" w:rsidP="00F158CE">
      <w:pPr>
        <w:widowControl/>
        <w:ind w:left="400" w:hangingChars="200" w:hanging="4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二、建構良好的兩性關係與互動、互重、互愛，進而創造和諧的社會關係。</w:t>
      </w:r>
    </w:p>
    <w:p w:rsidR="003327DD" w:rsidRPr="00F158CE" w:rsidRDefault="009300E5" w:rsidP="00F158CE">
      <w:pPr>
        <w:widowControl/>
        <w:ind w:left="400" w:hangingChars="200" w:hanging="4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三、性別角色的自我學習與突破：先瞭解自我發展潛力，再突破一般社會大眾對性別發展的制式期待與限制。</w:t>
      </w:r>
    </w:p>
    <w:p w:rsidR="003327DD" w:rsidRPr="00F158CE" w:rsidRDefault="009300E5" w:rsidP="00F158CE">
      <w:pPr>
        <w:widowControl/>
        <w:ind w:left="400" w:hangingChars="200" w:hanging="4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四、修正兩性中的性別歧視與偏見（包括對性傾向不同者的誤解），發展多元文化中的兩性平等權益相關議題。</w:t>
      </w:r>
    </w:p>
    <w:p w:rsidR="003327DD" w:rsidRPr="00F158CE" w:rsidRDefault="009300E5" w:rsidP="00F158CE">
      <w:pPr>
        <w:widowControl/>
        <w:ind w:left="400" w:hangingChars="200" w:hanging="4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五、從兩性的自我瞭解為出發點，以積極樂觀態度找到個人長處及競爭優勢後，進一步發展兩性的良好溝通和人際關係。</w:t>
      </w:r>
    </w:p>
    <w:p w:rsidR="009300E5" w:rsidRPr="00F158CE" w:rsidRDefault="009300E5" w:rsidP="00F158CE">
      <w:pPr>
        <w:widowControl/>
        <w:ind w:left="400" w:hangingChars="200" w:hanging="400"/>
        <w:rPr>
          <w:rFonts w:ascii="新細明體" w:hAnsi="新細明體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六、學習主動尋求社會性別平等相關資源系統，以達兩性平權之發展。</w:t>
      </w:r>
    </w:p>
    <w:p w:rsidR="009300E5" w:rsidRPr="00F158CE" w:rsidRDefault="009300E5" w:rsidP="00F158CE">
      <w:pPr>
        <w:widowControl/>
        <w:rPr>
          <w:rFonts w:ascii="新細明體" w:hAnsi="新細明體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b/>
          <w:bCs/>
          <w:color w:val="000000"/>
          <w:kern w:val="0"/>
          <w:sz w:val="20"/>
          <w:szCs w:val="20"/>
        </w:rPr>
        <w:t>性別平等的涵概層面</w:t>
      </w:r>
    </w:p>
    <w:p w:rsidR="003327DD" w:rsidRPr="00F158CE" w:rsidRDefault="009300E5" w:rsidP="00F158CE">
      <w:pPr>
        <w:widowControl/>
        <w:ind w:firstLine="54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「性別平等」的涵概層面極廣，它是一種全面化及多元化的社會目標，期待在各個面向的推展下，達到兩性互動、互助、尊重與和諧的社會關係。兩性教育的涵概範圍包括：</w:t>
      </w:r>
    </w:p>
    <w:p w:rsidR="003327DD" w:rsidRPr="00F158CE" w:rsidRDefault="009300E5" w:rsidP="00F158CE">
      <w:pPr>
        <w:widowControl/>
        <w:numPr>
          <w:ilvl w:val="0"/>
          <w:numId w:val="1"/>
        </w:numPr>
        <w:ind w:leftChars="200" w:left="1980" w:hangingChars="750" w:hanging="15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社會生活</w:t>
      </w:r>
      <w:r w:rsidR="00F158CE" w:rsidRPr="00F158CE">
        <w:rPr>
          <w:rFonts w:ascii="新細明體" w:hAnsi="新細明體" w:hint="eastAsia"/>
          <w:color w:val="000000"/>
          <w:kern w:val="0"/>
          <w:sz w:val="20"/>
          <w:szCs w:val="20"/>
        </w:rPr>
        <w:t>：</w:t>
      </w:r>
      <w:r w:rsidRPr="00F158CE">
        <w:rPr>
          <w:rFonts w:ascii="新細明體" w:hAnsi="新細明體"/>
          <w:color w:val="000000"/>
          <w:kern w:val="0"/>
          <w:sz w:val="20"/>
          <w:szCs w:val="20"/>
        </w:rPr>
        <w:t>在社會及生活的普遍層面下，建立兩性平權的基本概念，讓性別平等從生活做起，讓性取向不同者得到更合理的公平對待。</w:t>
      </w:r>
    </w:p>
    <w:p w:rsidR="00340421" w:rsidRPr="00F158CE" w:rsidRDefault="009300E5" w:rsidP="00F158CE">
      <w:pPr>
        <w:widowControl/>
        <w:numPr>
          <w:ilvl w:val="0"/>
          <w:numId w:val="1"/>
        </w:numPr>
        <w:ind w:leftChars="200" w:left="1580" w:hangingChars="550" w:hanging="11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家庭</w:t>
      </w:r>
      <w:r w:rsidR="00F158CE" w:rsidRPr="00F158CE">
        <w:rPr>
          <w:rFonts w:ascii="新細明體" w:hAnsi="新細明體" w:hint="eastAsia"/>
          <w:color w:val="000000"/>
          <w:kern w:val="0"/>
          <w:sz w:val="20"/>
          <w:szCs w:val="20"/>
        </w:rPr>
        <w:t>：</w:t>
      </w:r>
      <w:r w:rsidRPr="00F158CE">
        <w:rPr>
          <w:rFonts w:ascii="新細明體" w:hAnsi="新細明體"/>
          <w:color w:val="000000"/>
          <w:kern w:val="0"/>
          <w:sz w:val="20"/>
          <w:szCs w:val="20"/>
        </w:rPr>
        <w:t>傳統社會向來由女性主導家事，但家庭成員中的每一份子，不論男女，都應盡權利及義務，家事則應為家庭成員共同的事，不應因性別而有所區分，而家庭中的大小事宜，亦可由家中男女成員共同商討決定。</w:t>
      </w:r>
    </w:p>
    <w:p w:rsidR="00340421" w:rsidRPr="00F158CE" w:rsidRDefault="009300E5" w:rsidP="000553B8">
      <w:pPr>
        <w:widowControl/>
        <w:numPr>
          <w:ilvl w:val="0"/>
          <w:numId w:val="1"/>
        </w:numPr>
        <w:ind w:leftChars="200" w:left="2180" w:hangingChars="850" w:hanging="17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工作或經濟</w:t>
      </w:r>
      <w:r w:rsidR="00F158CE" w:rsidRPr="00F158CE">
        <w:rPr>
          <w:rFonts w:ascii="新細明體" w:hAnsi="新細明體" w:hint="eastAsia"/>
          <w:color w:val="000000"/>
          <w:kern w:val="0"/>
          <w:sz w:val="20"/>
          <w:szCs w:val="20"/>
        </w:rPr>
        <w:t>：</w:t>
      </w:r>
      <w:r w:rsidRPr="00F158CE">
        <w:rPr>
          <w:rFonts w:ascii="新細明體" w:hAnsi="新細明體"/>
          <w:color w:val="000000"/>
          <w:kern w:val="0"/>
          <w:sz w:val="20"/>
          <w:szCs w:val="20"/>
        </w:rPr>
        <w:t>隨著時代變遷，現代職業婦女日趨增加，但女性主管比例仍不及男性主管來得高，除有明顯性別限定及先天生理限制的行業外，男女應享有共同的就業機會，工作不因性別而有階級高低和薪水多寡的區分。</w:t>
      </w:r>
    </w:p>
    <w:p w:rsidR="00340421" w:rsidRPr="00F158CE" w:rsidRDefault="009300E5" w:rsidP="000553B8">
      <w:pPr>
        <w:widowControl/>
        <w:numPr>
          <w:ilvl w:val="0"/>
          <w:numId w:val="1"/>
        </w:numPr>
        <w:ind w:leftChars="200" w:left="1980" w:hangingChars="750" w:hanging="15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人身安全</w:t>
      </w:r>
      <w:r w:rsidR="00F158CE" w:rsidRPr="00F158CE">
        <w:rPr>
          <w:rFonts w:ascii="新細明體" w:hAnsi="新細明體" w:hint="eastAsia"/>
          <w:color w:val="000000"/>
          <w:kern w:val="0"/>
          <w:sz w:val="20"/>
          <w:szCs w:val="20"/>
        </w:rPr>
        <w:t>：</w:t>
      </w:r>
      <w:r w:rsidRPr="00F158CE">
        <w:rPr>
          <w:rFonts w:ascii="新細明體" w:hAnsi="新細明體"/>
          <w:color w:val="000000"/>
          <w:kern w:val="0"/>
          <w:sz w:val="20"/>
          <w:szCs w:val="20"/>
        </w:rPr>
        <w:t>婦女在社會上仍趨於弱勢，由於先天生理結構的不同，社會案件的性及性騷擾案時有所聞，因此婦女的人身安全更不應被忽略，如何加強的互重是性別平等極為重要的一環。</w:t>
      </w:r>
    </w:p>
    <w:p w:rsidR="00340421" w:rsidRPr="00F158CE" w:rsidRDefault="009300E5" w:rsidP="000553B8">
      <w:pPr>
        <w:widowControl/>
        <w:numPr>
          <w:ilvl w:val="0"/>
          <w:numId w:val="1"/>
        </w:numPr>
        <w:ind w:leftChars="200" w:left="1580" w:hangingChars="550" w:hanging="11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教育</w:t>
      </w:r>
      <w:r w:rsidR="00F158CE" w:rsidRPr="00F158CE">
        <w:rPr>
          <w:rFonts w:ascii="新細明體" w:hAnsi="新細明體" w:hint="eastAsia"/>
          <w:color w:val="000000"/>
          <w:kern w:val="0"/>
          <w:sz w:val="20"/>
          <w:szCs w:val="20"/>
        </w:rPr>
        <w:t>：</w:t>
      </w:r>
      <w:r w:rsidRPr="00F158CE">
        <w:rPr>
          <w:rFonts w:ascii="新細明體" w:hAnsi="新細明體"/>
          <w:color w:val="000000"/>
          <w:kern w:val="0"/>
          <w:sz w:val="20"/>
          <w:szCs w:val="20"/>
        </w:rPr>
        <w:t>教育可發揮向下紮根的深遠影響，讓兩性平權的觀念透過教育推展至生活，並相互尊重兩性的不同發展，才可真正達到兩性平權的社會。</w:t>
      </w:r>
    </w:p>
    <w:p w:rsidR="00340421" w:rsidRPr="00F158CE" w:rsidRDefault="009300E5" w:rsidP="000553B8">
      <w:pPr>
        <w:widowControl/>
        <w:numPr>
          <w:ilvl w:val="0"/>
          <w:numId w:val="1"/>
        </w:numPr>
        <w:ind w:leftChars="200" w:left="1580" w:hangingChars="550" w:hanging="11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文化</w:t>
      </w:r>
      <w:r w:rsidR="00F158CE" w:rsidRPr="00F158CE">
        <w:rPr>
          <w:rFonts w:ascii="新細明體" w:hAnsi="新細明體" w:hint="eastAsia"/>
          <w:color w:val="000000"/>
          <w:kern w:val="0"/>
          <w:sz w:val="20"/>
          <w:szCs w:val="20"/>
        </w:rPr>
        <w:t>：</w:t>
      </w:r>
      <w:r w:rsidRPr="00F158CE">
        <w:rPr>
          <w:rFonts w:ascii="新細明體" w:hAnsi="新細明體"/>
          <w:color w:val="000000"/>
          <w:kern w:val="0"/>
          <w:sz w:val="20"/>
          <w:szCs w:val="20"/>
        </w:rPr>
        <w:t>文化影響是一種概念的生成，如何從文化層面著手，推動性別平等教育是我們應共同努力的課題。</w:t>
      </w:r>
    </w:p>
    <w:p w:rsidR="00340421" w:rsidRPr="00F158CE" w:rsidRDefault="009300E5" w:rsidP="000553B8">
      <w:pPr>
        <w:widowControl/>
        <w:numPr>
          <w:ilvl w:val="0"/>
          <w:numId w:val="1"/>
        </w:numPr>
        <w:ind w:leftChars="200" w:left="1580" w:hangingChars="550" w:hanging="11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法律</w:t>
      </w:r>
      <w:r w:rsidR="00F158CE" w:rsidRPr="00F158CE">
        <w:rPr>
          <w:rFonts w:ascii="新細明體" w:hAnsi="新細明體" w:hint="eastAsia"/>
          <w:color w:val="000000"/>
          <w:kern w:val="0"/>
          <w:sz w:val="20"/>
          <w:szCs w:val="20"/>
        </w:rPr>
        <w:t>：</w:t>
      </w:r>
      <w:r w:rsidRPr="00F158CE">
        <w:rPr>
          <w:rFonts w:ascii="新細明體" w:hAnsi="新細明體"/>
          <w:color w:val="000000"/>
          <w:kern w:val="0"/>
          <w:sz w:val="20"/>
          <w:szCs w:val="20"/>
        </w:rPr>
        <w:t>積極推動婦女及弱勢者（包括性取向不同者、身心障礙者等）相關保護法令的通過，讓男女兩性在法律前有立足點的平等。</w:t>
      </w:r>
    </w:p>
    <w:p w:rsidR="00340421" w:rsidRPr="00F158CE" w:rsidRDefault="009300E5" w:rsidP="000553B8">
      <w:pPr>
        <w:widowControl/>
        <w:numPr>
          <w:ilvl w:val="0"/>
          <w:numId w:val="1"/>
        </w:numPr>
        <w:ind w:leftChars="200" w:left="1580" w:hangingChars="550" w:hanging="11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政治</w:t>
      </w:r>
      <w:r w:rsidR="00F158CE" w:rsidRPr="00F158CE">
        <w:rPr>
          <w:rFonts w:ascii="新細明體" w:hAnsi="新細明體" w:hint="eastAsia"/>
          <w:color w:val="000000"/>
          <w:kern w:val="0"/>
          <w:sz w:val="20"/>
          <w:szCs w:val="20"/>
        </w:rPr>
        <w:t>：</w:t>
      </w:r>
      <w:r w:rsidRPr="00F158CE">
        <w:rPr>
          <w:rFonts w:ascii="新細明體" w:hAnsi="新細明體"/>
          <w:color w:val="000000"/>
          <w:kern w:val="0"/>
          <w:sz w:val="20"/>
          <w:szCs w:val="20"/>
        </w:rPr>
        <w:t>男女在生理及心理不同的結構下，女性似乎對政治易缺乏聚焦，社會應積極培養女性的政治接受度與參與力。</w:t>
      </w:r>
    </w:p>
    <w:p w:rsidR="00340421" w:rsidRPr="00F158CE" w:rsidRDefault="009300E5" w:rsidP="000553B8">
      <w:pPr>
        <w:widowControl/>
        <w:numPr>
          <w:ilvl w:val="0"/>
          <w:numId w:val="1"/>
        </w:numPr>
        <w:ind w:leftChars="200" w:left="1580" w:hangingChars="550" w:hanging="1100"/>
        <w:rPr>
          <w:rFonts w:ascii="新細明體" w:hAnsi="新細明體" w:hint="eastAsia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福利</w:t>
      </w:r>
      <w:r w:rsidR="00F158CE" w:rsidRPr="00F158CE">
        <w:rPr>
          <w:rFonts w:ascii="新細明體" w:hAnsi="新細明體" w:hint="eastAsia"/>
          <w:color w:val="000000"/>
          <w:kern w:val="0"/>
          <w:sz w:val="20"/>
          <w:szCs w:val="20"/>
        </w:rPr>
        <w:t>：</w:t>
      </w:r>
      <w:r w:rsidRPr="00F158CE">
        <w:rPr>
          <w:rFonts w:ascii="新細明體" w:hAnsi="新細明體"/>
          <w:color w:val="000000"/>
          <w:kern w:val="0"/>
          <w:sz w:val="20"/>
          <w:szCs w:val="20"/>
        </w:rPr>
        <w:t>要求男女兩性在各項福利上的平等和平權。</w:t>
      </w:r>
    </w:p>
    <w:p w:rsidR="00261EF4" w:rsidRPr="00261EF4" w:rsidRDefault="009300E5" w:rsidP="00261EF4">
      <w:pPr>
        <w:widowControl/>
        <w:numPr>
          <w:ilvl w:val="0"/>
          <w:numId w:val="1"/>
        </w:numPr>
        <w:ind w:leftChars="200" w:left="1580" w:hangingChars="550" w:hanging="1100"/>
        <w:rPr>
          <w:rFonts w:ascii="新細明體" w:hAnsi="新細明體"/>
          <w:color w:val="000000"/>
          <w:kern w:val="0"/>
          <w:sz w:val="20"/>
          <w:szCs w:val="20"/>
        </w:rPr>
      </w:pPr>
      <w:r w:rsidRPr="00F158CE">
        <w:rPr>
          <w:rFonts w:ascii="新細明體" w:hAnsi="新細明體"/>
          <w:color w:val="000000"/>
          <w:kern w:val="0"/>
          <w:sz w:val="20"/>
          <w:szCs w:val="20"/>
        </w:rPr>
        <w:t>健康</w:t>
      </w:r>
      <w:r w:rsidR="00F158CE" w:rsidRPr="00F158CE">
        <w:rPr>
          <w:rFonts w:ascii="新細明體" w:hAnsi="新細明體" w:hint="eastAsia"/>
          <w:color w:val="000000"/>
          <w:kern w:val="0"/>
          <w:sz w:val="20"/>
          <w:szCs w:val="20"/>
        </w:rPr>
        <w:t>：</w:t>
      </w:r>
      <w:r w:rsidRPr="00F158CE">
        <w:rPr>
          <w:rFonts w:ascii="新細明體" w:hAnsi="新細明體"/>
          <w:color w:val="000000"/>
          <w:kern w:val="0"/>
          <w:sz w:val="20"/>
          <w:szCs w:val="20"/>
        </w:rPr>
        <w:t>不論身、心、靈，男女兩性在健康及就醫上都應享有平等的待遇。</w:t>
      </w:r>
    </w:p>
    <w:sectPr w:rsidR="00261EF4" w:rsidRPr="00261EF4" w:rsidSect="00261EF4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18" w:rsidRDefault="00C00F18" w:rsidP="00BA4095">
      <w:r>
        <w:separator/>
      </w:r>
    </w:p>
  </w:endnote>
  <w:endnote w:type="continuationSeparator" w:id="0">
    <w:p w:rsidR="00C00F18" w:rsidRDefault="00C00F18" w:rsidP="00BA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18" w:rsidRDefault="00C00F18" w:rsidP="00BA4095">
      <w:r>
        <w:separator/>
      </w:r>
    </w:p>
  </w:footnote>
  <w:footnote w:type="continuationSeparator" w:id="0">
    <w:p w:rsidR="00C00F18" w:rsidRDefault="00C00F18" w:rsidP="00BA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435C5"/>
    <w:multiLevelType w:val="hybridMultilevel"/>
    <w:tmpl w:val="66460694"/>
    <w:lvl w:ilvl="0" w:tplc="38FA60C2">
      <w:start w:val="1"/>
      <w:numFmt w:val="taiwaneseCountingThousand"/>
      <w:lvlText w:val="(%1)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C2"/>
    <w:rsid w:val="000553B8"/>
    <w:rsid w:val="0020599B"/>
    <w:rsid w:val="00261EF4"/>
    <w:rsid w:val="003327DD"/>
    <w:rsid w:val="00340421"/>
    <w:rsid w:val="006C1C3A"/>
    <w:rsid w:val="0070559D"/>
    <w:rsid w:val="00906174"/>
    <w:rsid w:val="009300E5"/>
    <w:rsid w:val="00A1261B"/>
    <w:rsid w:val="00BA4095"/>
    <w:rsid w:val="00C00F18"/>
    <w:rsid w:val="00C507D7"/>
    <w:rsid w:val="00C5350A"/>
    <w:rsid w:val="00D307C2"/>
    <w:rsid w:val="00E56BD2"/>
    <w:rsid w:val="00E729BA"/>
    <w:rsid w:val="00EC1D15"/>
    <w:rsid w:val="00F1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307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uiPriority w:val="22"/>
    <w:qFormat/>
    <w:rsid w:val="00D307C2"/>
    <w:rPr>
      <w:b/>
      <w:bCs/>
    </w:rPr>
  </w:style>
  <w:style w:type="character" w:styleId="a4">
    <w:name w:val="Hyperlink"/>
    <w:uiPriority w:val="99"/>
    <w:semiHidden/>
    <w:unhideWhenUsed/>
    <w:rsid w:val="00D307C2"/>
    <w:rPr>
      <w:color w:val="0000FF"/>
      <w:u w:val="single"/>
    </w:rPr>
  </w:style>
  <w:style w:type="paragraph" w:customStyle="1" w:styleId="style4">
    <w:name w:val="style4"/>
    <w:basedOn w:val="a"/>
    <w:rsid w:val="00D307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D307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300E5"/>
  </w:style>
  <w:style w:type="paragraph" w:styleId="a5">
    <w:name w:val="header"/>
    <w:basedOn w:val="a"/>
    <w:link w:val="a6"/>
    <w:uiPriority w:val="99"/>
    <w:unhideWhenUsed/>
    <w:rsid w:val="00BA4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A4095"/>
    <w:rPr>
      <w:kern w:val="2"/>
    </w:rPr>
  </w:style>
  <w:style w:type="paragraph" w:styleId="a7">
    <w:name w:val="footer"/>
    <w:basedOn w:val="a"/>
    <w:link w:val="a8"/>
    <w:uiPriority w:val="99"/>
    <w:unhideWhenUsed/>
    <w:rsid w:val="00BA4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A409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307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Strong"/>
    <w:uiPriority w:val="22"/>
    <w:qFormat/>
    <w:rsid w:val="00D307C2"/>
    <w:rPr>
      <w:b/>
      <w:bCs/>
    </w:rPr>
  </w:style>
  <w:style w:type="character" w:styleId="a4">
    <w:name w:val="Hyperlink"/>
    <w:uiPriority w:val="99"/>
    <w:semiHidden/>
    <w:unhideWhenUsed/>
    <w:rsid w:val="00D307C2"/>
    <w:rPr>
      <w:color w:val="0000FF"/>
      <w:u w:val="single"/>
    </w:rPr>
  </w:style>
  <w:style w:type="paragraph" w:customStyle="1" w:styleId="style4">
    <w:name w:val="style4"/>
    <w:basedOn w:val="a"/>
    <w:rsid w:val="00D307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D307C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300E5"/>
  </w:style>
  <w:style w:type="paragraph" w:styleId="a5">
    <w:name w:val="header"/>
    <w:basedOn w:val="a"/>
    <w:link w:val="a6"/>
    <w:uiPriority w:val="99"/>
    <w:unhideWhenUsed/>
    <w:rsid w:val="00BA4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A4095"/>
    <w:rPr>
      <w:kern w:val="2"/>
    </w:rPr>
  </w:style>
  <w:style w:type="paragraph" w:styleId="a7">
    <w:name w:val="footer"/>
    <w:basedOn w:val="a"/>
    <w:link w:val="a8"/>
    <w:uiPriority w:val="99"/>
    <w:unhideWhenUsed/>
    <w:rsid w:val="00BA4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A40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adin\Desktop\106&#23416;&#24180;&#24230;&#23526;&#26045;&#35336;&#30059;-&#25499;&#32178;-&#20027;&#20219;&#32102;\&#22294;&#29255;-&#25499;&#32178;\move-222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Links>
    <vt:vector size="6" baseType="variant">
      <vt:variant>
        <vt:i4>697494510</vt:i4>
      </vt:variant>
      <vt:variant>
        <vt:i4>-1</vt:i4>
      </vt:variant>
      <vt:variant>
        <vt:i4>1030</vt:i4>
      </vt:variant>
      <vt:variant>
        <vt:i4>1</vt:i4>
      </vt:variant>
      <vt:variant>
        <vt:lpwstr>C:\Users\adin\Desktop\106學年度實施計畫-掛網-主任給\圖片-掛網\move-222.gif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adin</cp:lastModifiedBy>
  <cp:revision>2</cp:revision>
  <dcterms:created xsi:type="dcterms:W3CDTF">2017-10-05T06:21:00Z</dcterms:created>
  <dcterms:modified xsi:type="dcterms:W3CDTF">2017-10-05T06:21:00Z</dcterms:modified>
</cp:coreProperties>
</file>